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6A08" w14:textId="77777777" w:rsidR="00001A84" w:rsidRDefault="00001A84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</w:p>
    <w:p w14:paraId="1D56652A" w14:textId="18F24C74" w:rsidR="00D77595" w:rsidRDefault="00F41127" w:rsidP="00F061E1">
      <w:pPr>
        <w:rPr>
          <w:rFonts w:ascii="Arial" w:hAnsi="Arial" w:cs="Arial"/>
          <w:b/>
          <w:sz w:val="32"/>
          <w:szCs w:val="24"/>
        </w:rPr>
      </w:pPr>
      <w:r w:rsidRPr="00D77595">
        <w:rPr>
          <w:rFonts w:ascii="Arial" w:hAnsi="Arial" w:cs="Arial"/>
          <w:b/>
          <w:sz w:val="32"/>
          <w:szCs w:val="24"/>
        </w:rPr>
        <w:t xml:space="preserve">Continuing Professional Development </w:t>
      </w:r>
      <w:r w:rsidR="00C04570">
        <w:rPr>
          <w:rFonts w:ascii="Arial" w:hAnsi="Arial" w:cs="Arial"/>
          <w:b/>
          <w:sz w:val="32"/>
          <w:szCs w:val="24"/>
        </w:rPr>
        <w:t xml:space="preserve">Digital </w:t>
      </w:r>
      <w:r w:rsidRPr="00D77595">
        <w:rPr>
          <w:rFonts w:ascii="Arial" w:hAnsi="Arial" w:cs="Arial"/>
          <w:b/>
          <w:sz w:val="32"/>
          <w:szCs w:val="24"/>
        </w:rPr>
        <w:t>Innovation &amp; Research Grant (CPD</w:t>
      </w:r>
      <w:r w:rsidR="000B1706">
        <w:rPr>
          <w:rFonts w:ascii="Arial" w:hAnsi="Arial" w:cs="Arial"/>
          <w:b/>
          <w:sz w:val="32"/>
          <w:szCs w:val="24"/>
        </w:rPr>
        <w:t xml:space="preserve"> Digital</w:t>
      </w:r>
      <w:r w:rsidRPr="00D77595">
        <w:rPr>
          <w:rFonts w:ascii="Arial" w:hAnsi="Arial" w:cs="Arial"/>
          <w:b/>
          <w:sz w:val="32"/>
          <w:szCs w:val="24"/>
        </w:rPr>
        <w:t xml:space="preserve"> IRG)</w:t>
      </w:r>
      <w:r w:rsidR="00F061E1">
        <w:rPr>
          <w:rFonts w:ascii="Arial" w:hAnsi="Arial" w:cs="Arial"/>
          <w:b/>
          <w:sz w:val="32"/>
          <w:szCs w:val="24"/>
        </w:rPr>
        <w:t xml:space="preserve"> Application – </w:t>
      </w:r>
      <w:r w:rsidR="001500EC">
        <w:rPr>
          <w:rFonts w:ascii="Arial" w:hAnsi="Arial" w:cs="Arial"/>
          <w:b/>
          <w:sz w:val="32"/>
          <w:szCs w:val="24"/>
        </w:rPr>
        <w:t>Budget</w:t>
      </w:r>
      <w:r w:rsidR="0072576B">
        <w:rPr>
          <w:rFonts w:ascii="Arial" w:hAnsi="Arial" w:cs="Arial"/>
          <w:b/>
          <w:sz w:val="32"/>
          <w:szCs w:val="24"/>
        </w:rPr>
        <w:t xml:space="preserve"> (Component </w:t>
      </w:r>
      <w:r w:rsidR="00CE6FF0">
        <w:rPr>
          <w:rFonts w:ascii="Arial" w:hAnsi="Arial" w:cs="Arial"/>
          <w:b/>
          <w:sz w:val="32"/>
          <w:szCs w:val="24"/>
        </w:rPr>
        <w:t>L</w:t>
      </w:r>
      <w:r w:rsidR="0072576B">
        <w:rPr>
          <w:rFonts w:ascii="Arial" w:hAnsi="Arial" w:cs="Arial"/>
          <w:b/>
          <w:sz w:val="32"/>
          <w:szCs w:val="24"/>
        </w:rPr>
        <w:t>)</w:t>
      </w:r>
    </w:p>
    <w:p w14:paraId="1673AED6" w14:textId="00B4E2AE" w:rsidR="0072576B" w:rsidRPr="0072576B" w:rsidRDefault="0072576B" w:rsidP="00725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the budget </w:t>
      </w:r>
      <w:r w:rsidR="000165C9">
        <w:rPr>
          <w:rFonts w:ascii="Arial" w:hAnsi="Arial" w:cs="Arial"/>
        </w:rPr>
        <w:t>below and include</w:t>
      </w:r>
      <w:r w:rsidR="00A46F55">
        <w:rPr>
          <w:rFonts w:ascii="Arial" w:hAnsi="Arial" w:cs="Arial"/>
        </w:rPr>
        <w:t xml:space="preserve"> it</w:t>
      </w:r>
      <w:r w:rsidR="000165C9">
        <w:rPr>
          <w:rFonts w:ascii="Arial" w:hAnsi="Arial" w:cs="Arial"/>
        </w:rPr>
        <w:t xml:space="preserve"> in the application, including justification.</w:t>
      </w:r>
    </w:p>
    <w:p w14:paraId="6F071285" w14:textId="77777777" w:rsidR="0072576B" w:rsidRPr="0072576B" w:rsidRDefault="0072576B" w:rsidP="0072576B">
      <w:pPr>
        <w:rPr>
          <w:rFonts w:ascii="Arial" w:hAnsi="Arial" w:cs="Arial"/>
        </w:rPr>
      </w:pPr>
      <w:r>
        <w:rPr>
          <w:rFonts w:ascii="Arial" w:hAnsi="Arial" w:cs="Arial"/>
          <w:b/>
        </w:rPr>
        <w:t>Budgetary Guidelines</w:t>
      </w:r>
    </w:p>
    <w:p w14:paraId="44071C75" w14:textId="0752E40A" w:rsidR="009803D0" w:rsidRPr="009803D0" w:rsidRDefault="009803D0" w:rsidP="009803D0">
      <w:pPr>
        <w:rPr>
          <w:rFonts w:ascii="Arial" w:hAnsi="Arial" w:cs="Arial"/>
          <w:sz w:val="24"/>
          <w:szCs w:val="24"/>
        </w:rPr>
      </w:pPr>
      <w:r w:rsidRPr="009803D0">
        <w:rPr>
          <w:rFonts w:ascii="Arial" w:hAnsi="Arial" w:cs="Arial"/>
        </w:rPr>
        <w:t xml:space="preserve">Grant funds are to be used strictly as described in </w:t>
      </w:r>
      <w:r>
        <w:rPr>
          <w:rFonts w:ascii="Arial" w:hAnsi="Arial" w:cs="Arial"/>
        </w:rPr>
        <w:t>the budget.</w:t>
      </w:r>
      <w:r w:rsidRPr="00980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9803D0">
        <w:rPr>
          <w:rFonts w:ascii="Arial" w:hAnsi="Arial" w:cs="Arial"/>
        </w:rPr>
        <w:t>f projects are completed under budget, all surplus grant funds must be reported and returned to Schulich Finance on project completion.</w:t>
      </w:r>
    </w:p>
    <w:p w14:paraId="7D5E5CCB" w14:textId="736DB0FC" w:rsidR="0072576B" w:rsidRDefault="0072576B" w:rsidP="0072576B">
      <w:pPr>
        <w:rPr>
          <w:rFonts w:ascii="Arial" w:hAnsi="Arial" w:cs="Arial"/>
          <w:szCs w:val="24"/>
        </w:rPr>
      </w:pPr>
      <w:r w:rsidRPr="00216C26">
        <w:rPr>
          <w:rFonts w:ascii="Arial" w:hAnsi="Arial" w:cs="Arial"/>
          <w:szCs w:val="24"/>
        </w:rPr>
        <w:t>The following list of acceptable and unacceptable expenses is intended to assist applicants in preparing budgetary request</w:t>
      </w:r>
      <w:r>
        <w:rPr>
          <w:rFonts w:ascii="Arial" w:hAnsi="Arial" w:cs="Arial"/>
          <w:szCs w:val="24"/>
        </w:rPr>
        <w:t>s. This list is not exhaustive.</w:t>
      </w:r>
    </w:p>
    <w:p w14:paraId="281AC7EA" w14:textId="77777777" w:rsidR="0072576B" w:rsidRPr="0072576B" w:rsidRDefault="0072576B" w:rsidP="0072576B">
      <w:pPr>
        <w:rPr>
          <w:rFonts w:ascii="Arial" w:hAnsi="Arial" w:cs="Arial"/>
          <w:i/>
          <w:szCs w:val="24"/>
        </w:rPr>
      </w:pPr>
      <w:r w:rsidRPr="0072576B">
        <w:rPr>
          <w:rFonts w:ascii="Arial" w:hAnsi="Arial" w:cs="Arial"/>
          <w:i/>
          <w:szCs w:val="24"/>
        </w:rPr>
        <w:t>Acceptable expenses:</w:t>
      </w:r>
    </w:p>
    <w:p w14:paraId="267432B4" w14:textId="77777777" w:rsidR="0072576B" w:rsidRDefault="0072576B" w:rsidP="0072576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Travel that is required during research implementation</w:t>
      </w:r>
    </w:p>
    <w:p w14:paraId="52C9DCEF" w14:textId="77777777" w:rsidR="0072576B" w:rsidRDefault="0072576B" w:rsidP="0072576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Salary / benefits of research personnel </w:t>
      </w:r>
      <w:r w:rsidR="00CD55C7">
        <w:rPr>
          <w:rFonts w:ascii="Arial" w:hAnsi="Arial" w:cs="Arial"/>
          <w:szCs w:val="24"/>
        </w:rPr>
        <w:t xml:space="preserve">(non-faculty) </w:t>
      </w:r>
      <w:r>
        <w:rPr>
          <w:rFonts w:ascii="Arial" w:hAnsi="Arial" w:cs="Arial"/>
          <w:szCs w:val="24"/>
        </w:rPr>
        <w:t>working as part of the research team at Western</w:t>
      </w:r>
    </w:p>
    <w:p w14:paraId="252DA9D9" w14:textId="48AB2664" w:rsidR="0072576B" w:rsidRDefault="0072576B" w:rsidP="0072576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Professional services required for research (e.g. statistical consulting, transcription services)</w:t>
      </w:r>
    </w:p>
    <w:p w14:paraId="63D9A852" w14:textId="77777777" w:rsidR="0072576B" w:rsidRDefault="0072576B" w:rsidP="0072576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Direct research costs such as participant honoraria, supplies, analytical software, etc.</w:t>
      </w:r>
    </w:p>
    <w:p w14:paraId="301B3E5D" w14:textId="7508A571" w:rsidR="0072576B" w:rsidRDefault="0072576B" w:rsidP="0072576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Publication costs</w:t>
      </w:r>
      <w:r w:rsidR="001C0FE6">
        <w:rPr>
          <w:rFonts w:ascii="Arial" w:hAnsi="Arial" w:cs="Arial"/>
          <w:szCs w:val="24"/>
        </w:rPr>
        <w:t xml:space="preserve"> – open access costs up to $500 only</w:t>
      </w:r>
    </w:p>
    <w:p w14:paraId="67BFC4FA" w14:textId="51F0AD43" w:rsidR="00CB71B6" w:rsidRPr="00CB71B6" w:rsidRDefault="00CB71B6" w:rsidP="00CB71B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Cs w:val="24"/>
        </w:rPr>
      </w:pPr>
      <w:r w:rsidRPr="00805D11">
        <w:rPr>
          <w:rFonts w:ascii="Arial" w:hAnsi="Arial" w:cs="Arial"/>
          <w:szCs w:val="24"/>
        </w:rPr>
        <w:t>Travel costs related to the dissemination of research findings</w:t>
      </w:r>
      <w:r>
        <w:rPr>
          <w:rFonts w:ascii="Arial" w:hAnsi="Arial" w:cs="Arial"/>
          <w:szCs w:val="24"/>
        </w:rPr>
        <w:t xml:space="preserve"> up to $</w:t>
      </w:r>
      <w:r w:rsidR="005D5E9E">
        <w:rPr>
          <w:rFonts w:ascii="Arial" w:hAnsi="Arial" w:cs="Arial"/>
          <w:szCs w:val="24"/>
        </w:rPr>
        <w:t>2000.00</w:t>
      </w:r>
      <w:r>
        <w:rPr>
          <w:rFonts w:ascii="Arial" w:hAnsi="Arial" w:cs="Arial"/>
          <w:szCs w:val="24"/>
        </w:rPr>
        <w:t>.</w:t>
      </w:r>
    </w:p>
    <w:p w14:paraId="203430D5" w14:textId="77777777" w:rsidR="0072576B" w:rsidRPr="0072576B" w:rsidRDefault="0072576B" w:rsidP="0072576B">
      <w:pPr>
        <w:spacing w:after="0"/>
        <w:ind w:left="360"/>
        <w:rPr>
          <w:rFonts w:ascii="Arial" w:hAnsi="Arial" w:cs="Arial"/>
          <w:szCs w:val="24"/>
        </w:rPr>
      </w:pPr>
    </w:p>
    <w:p w14:paraId="0D4213F4" w14:textId="77777777" w:rsidR="0072576B" w:rsidRPr="0072576B" w:rsidRDefault="0072576B" w:rsidP="0072576B">
      <w:pPr>
        <w:rPr>
          <w:rFonts w:ascii="Arial" w:hAnsi="Arial" w:cs="Arial"/>
          <w:i/>
          <w:szCs w:val="24"/>
        </w:rPr>
      </w:pPr>
      <w:r w:rsidRPr="0072576B">
        <w:rPr>
          <w:rFonts w:ascii="Arial" w:hAnsi="Arial" w:cs="Arial"/>
          <w:i/>
          <w:szCs w:val="24"/>
        </w:rPr>
        <w:t>Unacceptable expenses:</w:t>
      </w:r>
    </w:p>
    <w:p w14:paraId="2AC30664" w14:textId="37A25128" w:rsidR="0072576B" w:rsidRDefault="0072576B" w:rsidP="0072576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Tuition or course fees (see the Faculty Development Mini-Fellowship)</w:t>
      </w:r>
    </w:p>
    <w:p w14:paraId="4357837D" w14:textId="35797E07" w:rsidR="00485EE7" w:rsidRPr="001C0FE6" w:rsidRDefault="0072576B" w:rsidP="001C0FE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Capital equipment costs (e.g. computer hardware, office equipment</w:t>
      </w:r>
      <w:r w:rsidRPr="00485EE7">
        <w:rPr>
          <w:rFonts w:ascii="Arial" w:hAnsi="Arial" w:cs="Arial"/>
          <w:szCs w:val="24"/>
        </w:rPr>
        <w:t>)</w:t>
      </w:r>
    </w:p>
    <w:p w14:paraId="1AD5C196" w14:textId="77777777" w:rsidR="001500EC" w:rsidRPr="001500EC" w:rsidRDefault="001500EC" w:rsidP="00F061E1">
      <w:pPr>
        <w:rPr>
          <w:rFonts w:ascii="Arial" w:hAnsi="Arial" w:cs="Arial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890"/>
        <w:gridCol w:w="1800"/>
        <w:gridCol w:w="1435"/>
      </w:tblGrid>
      <w:tr w:rsidR="001500EC" w14:paraId="713CEDEF" w14:textId="77777777" w:rsidTr="00485EE7">
        <w:trPr>
          <w:trHeight w:val="576"/>
        </w:trPr>
        <w:tc>
          <w:tcPr>
            <w:tcW w:w="4225" w:type="dxa"/>
            <w:shd w:val="clear" w:color="auto" w:fill="807F83"/>
            <w:vAlign w:val="center"/>
          </w:tcPr>
          <w:p w14:paraId="15704F64" w14:textId="77777777" w:rsidR="001500EC" w:rsidRPr="001500EC" w:rsidRDefault="001500EC" w:rsidP="001500EC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500EC">
              <w:rPr>
                <w:rFonts w:ascii="Arial" w:hAnsi="Arial"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1890" w:type="dxa"/>
            <w:shd w:val="clear" w:color="auto" w:fill="807F83"/>
            <w:vAlign w:val="center"/>
          </w:tcPr>
          <w:p w14:paraId="10A27623" w14:textId="1FFC0537" w:rsidR="001500EC" w:rsidRPr="001500EC" w:rsidRDefault="001500EC" w:rsidP="001500EC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500E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CPD </w:t>
            </w:r>
            <w:r w:rsidR="00C45EE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Digital </w:t>
            </w:r>
            <w:r w:rsidRPr="001500EC">
              <w:rPr>
                <w:rFonts w:ascii="Arial" w:hAnsi="Arial" w:cs="Arial"/>
                <w:b/>
                <w:color w:val="FFFFFF" w:themeColor="background1"/>
                <w:sz w:val="20"/>
              </w:rPr>
              <w:t>IRG $</w:t>
            </w:r>
          </w:p>
        </w:tc>
        <w:tc>
          <w:tcPr>
            <w:tcW w:w="1800" w:type="dxa"/>
            <w:shd w:val="clear" w:color="auto" w:fill="807F83"/>
            <w:vAlign w:val="center"/>
          </w:tcPr>
          <w:p w14:paraId="439AE924" w14:textId="77777777" w:rsidR="001500EC" w:rsidRPr="001500EC" w:rsidRDefault="001500EC" w:rsidP="001500EC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500EC">
              <w:rPr>
                <w:rFonts w:ascii="Arial" w:hAnsi="Arial" w:cs="Arial"/>
                <w:b/>
                <w:color w:val="FFFFFF" w:themeColor="background1"/>
                <w:sz w:val="20"/>
              </w:rPr>
              <w:t>Other Sources $</w:t>
            </w:r>
          </w:p>
        </w:tc>
        <w:tc>
          <w:tcPr>
            <w:tcW w:w="1435" w:type="dxa"/>
            <w:shd w:val="clear" w:color="auto" w:fill="807F83"/>
            <w:vAlign w:val="center"/>
          </w:tcPr>
          <w:p w14:paraId="28EEEE69" w14:textId="77777777" w:rsidR="001500EC" w:rsidRPr="001500EC" w:rsidRDefault="001500EC" w:rsidP="001500EC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1500EC">
              <w:rPr>
                <w:rFonts w:ascii="Arial" w:hAnsi="Arial" w:cs="Arial"/>
                <w:b/>
                <w:color w:val="FFFFFF" w:themeColor="background1"/>
                <w:sz w:val="20"/>
              </w:rPr>
              <w:t>Total $</w:t>
            </w:r>
          </w:p>
        </w:tc>
      </w:tr>
      <w:tr w:rsidR="001500EC" w14:paraId="4412A006" w14:textId="77777777" w:rsidTr="00485EE7">
        <w:trPr>
          <w:trHeight w:val="576"/>
        </w:trPr>
        <w:tc>
          <w:tcPr>
            <w:tcW w:w="4225" w:type="dxa"/>
            <w:vAlign w:val="center"/>
          </w:tcPr>
          <w:p w14:paraId="4980E814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Salary / Benefits </w:t>
            </w:r>
          </w:p>
        </w:tc>
        <w:tc>
          <w:tcPr>
            <w:tcW w:w="1890" w:type="dxa"/>
            <w:vAlign w:val="center"/>
          </w:tcPr>
          <w:p w14:paraId="715423A6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3E89615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CD28A5B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</w:tr>
      <w:tr w:rsidR="001500EC" w14:paraId="339BE388" w14:textId="77777777" w:rsidTr="00485EE7">
        <w:trPr>
          <w:trHeight w:val="576"/>
        </w:trPr>
        <w:tc>
          <w:tcPr>
            <w:tcW w:w="4225" w:type="dxa"/>
            <w:vAlign w:val="center"/>
          </w:tcPr>
          <w:p w14:paraId="1991CD4A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Supplies</w:t>
            </w:r>
          </w:p>
        </w:tc>
        <w:tc>
          <w:tcPr>
            <w:tcW w:w="1890" w:type="dxa"/>
            <w:vAlign w:val="center"/>
          </w:tcPr>
          <w:p w14:paraId="097D51D3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7B8B923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74A33101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</w:tr>
      <w:tr w:rsidR="001500EC" w14:paraId="0A4DD7A3" w14:textId="77777777" w:rsidTr="00485EE7">
        <w:trPr>
          <w:trHeight w:val="576"/>
        </w:trPr>
        <w:tc>
          <w:tcPr>
            <w:tcW w:w="4225" w:type="dxa"/>
            <w:vAlign w:val="center"/>
          </w:tcPr>
          <w:p w14:paraId="7E74AF18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</w:t>
            </w:r>
          </w:p>
        </w:tc>
        <w:tc>
          <w:tcPr>
            <w:tcW w:w="1890" w:type="dxa"/>
            <w:vAlign w:val="center"/>
          </w:tcPr>
          <w:p w14:paraId="5D6E31FD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780A3EE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D1DC650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</w:tr>
      <w:tr w:rsidR="001500EC" w14:paraId="33D9F936" w14:textId="77777777" w:rsidTr="00485EE7">
        <w:trPr>
          <w:trHeight w:val="576"/>
        </w:trPr>
        <w:tc>
          <w:tcPr>
            <w:tcW w:w="4225" w:type="dxa"/>
            <w:vAlign w:val="center"/>
          </w:tcPr>
          <w:p w14:paraId="67564342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(provide detail in justification)</w:t>
            </w:r>
          </w:p>
        </w:tc>
        <w:tc>
          <w:tcPr>
            <w:tcW w:w="1890" w:type="dxa"/>
            <w:vAlign w:val="center"/>
          </w:tcPr>
          <w:p w14:paraId="735F19E8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271DECE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57D52B1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</w:tr>
      <w:tr w:rsidR="001500EC" w14:paraId="30E99E4D" w14:textId="77777777" w:rsidTr="00485EE7">
        <w:trPr>
          <w:trHeight w:val="576"/>
        </w:trPr>
        <w:tc>
          <w:tcPr>
            <w:tcW w:w="4225" w:type="dxa"/>
            <w:vAlign w:val="center"/>
          </w:tcPr>
          <w:p w14:paraId="4C3A6D33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Budget</w:t>
            </w:r>
          </w:p>
        </w:tc>
        <w:tc>
          <w:tcPr>
            <w:tcW w:w="1890" w:type="dxa"/>
            <w:vAlign w:val="center"/>
          </w:tcPr>
          <w:p w14:paraId="787C1C89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C5F99E5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A9FD636" w14:textId="77777777" w:rsidR="001500EC" w:rsidRDefault="001500EC" w:rsidP="001500EC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5A2813" w14:textId="7485D2EF" w:rsidR="001500EC" w:rsidRPr="00B5533D" w:rsidRDefault="001500EC" w:rsidP="00AF111F">
      <w:pPr>
        <w:rPr>
          <w:rFonts w:ascii="Arial" w:hAnsi="Arial" w:cs="Arial"/>
          <w:szCs w:val="24"/>
        </w:rPr>
      </w:pPr>
    </w:p>
    <w:sectPr w:rsidR="001500EC" w:rsidRPr="00B5533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DCD81" w14:textId="77777777" w:rsidR="00E37F2A" w:rsidRDefault="00E37F2A" w:rsidP="00001A84">
      <w:pPr>
        <w:spacing w:after="0" w:line="240" w:lineRule="auto"/>
      </w:pPr>
      <w:r>
        <w:separator/>
      </w:r>
    </w:p>
  </w:endnote>
  <w:endnote w:type="continuationSeparator" w:id="0">
    <w:p w14:paraId="2CCD8D03" w14:textId="77777777" w:rsidR="00E37F2A" w:rsidRDefault="00E37F2A" w:rsidP="0000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786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F50069" w14:textId="7ACE3B8D" w:rsidR="001500EC" w:rsidRDefault="001500EC">
            <w:pPr>
              <w:pStyle w:val="Footer"/>
              <w:jc w:val="center"/>
            </w:pPr>
            <w:r w:rsidRPr="001500E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46F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500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46F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1500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1D6941" w14:textId="77777777" w:rsidR="001500EC" w:rsidRDefault="00150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21AC5" w14:textId="77777777" w:rsidR="00E37F2A" w:rsidRDefault="00E37F2A" w:rsidP="00001A84">
      <w:pPr>
        <w:spacing w:after="0" w:line="240" w:lineRule="auto"/>
      </w:pPr>
      <w:r>
        <w:separator/>
      </w:r>
    </w:p>
  </w:footnote>
  <w:footnote w:type="continuationSeparator" w:id="0">
    <w:p w14:paraId="544E578E" w14:textId="77777777" w:rsidR="00E37F2A" w:rsidRDefault="00E37F2A" w:rsidP="0000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90F0" w14:textId="77777777" w:rsidR="00001A84" w:rsidRDefault="00001A8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2AB0079" wp14:editId="453DE624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E2DC1"/>
    <w:multiLevelType w:val="hybridMultilevel"/>
    <w:tmpl w:val="AD2E63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47C9D"/>
    <w:multiLevelType w:val="hybridMultilevel"/>
    <w:tmpl w:val="C9963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967C4"/>
    <w:multiLevelType w:val="hybridMultilevel"/>
    <w:tmpl w:val="F9D881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82435"/>
    <w:multiLevelType w:val="hybridMultilevel"/>
    <w:tmpl w:val="84B81E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1172E"/>
    <w:multiLevelType w:val="hybridMultilevel"/>
    <w:tmpl w:val="9A44C3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E761B"/>
    <w:multiLevelType w:val="hybridMultilevel"/>
    <w:tmpl w:val="54607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27"/>
    <w:rsid w:val="00001A84"/>
    <w:rsid w:val="000165C9"/>
    <w:rsid w:val="0003643B"/>
    <w:rsid w:val="00093E1F"/>
    <w:rsid w:val="000B1706"/>
    <w:rsid w:val="001500EC"/>
    <w:rsid w:val="001C0FE6"/>
    <w:rsid w:val="002B61D1"/>
    <w:rsid w:val="00351B08"/>
    <w:rsid w:val="003F0676"/>
    <w:rsid w:val="00417F83"/>
    <w:rsid w:val="00485EE7"/>
    <w:rsid w:val="00491E36"/>
    <w:rsid w:val="005B445C"/>
    <w:rsid w:val="005D5E9E"/>
    <w:rsid w:val="005D6DC5"/>
    <w:rsid w:val="0072576B"/>
    <w:rsid w:val="007C3B4B"/>
    <w:rsid w:val="00805D11"/>
    <w:rsid w:val="00824102"/>
    <w:rsid w:val="0084588D"/>
    <w:rsid w:val="009803D0"/>
    <w:rsid w:val="00A46F55"/>
    <w:rsid w:val="00AF111F"/>
    <w:rsid w:val="00B5533D"/>
    <w:rsid w:val="00BB7CCB"/>
    <w:rsid w:val="00C04570"/>
    <w:rsid w:val="00C45EED"/>
    <w:rsid w:val="00CB71B6"/>
    <w:rsid w:val="00CD55C7"/>
    <w:rsid w:val="00CE6FF0"/>
    <w:rsid w:val="00CF6421"/>
    <w:rsid w:val="00D11A41"/>
    <w:rsid w:val="00D77595"/>
    <w:rsid w:val="00DB638A"/>
    <w:rsid w:val="00E37F2A"/>
    <w:rsid w:val="00E81A23"/>
    <w:rsid w:val="00F061E1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B51A5"/>
  <w15:chartTrackingRefBased/>
  <w15:docId w15:val="{3DEB30F8-89E7-48D6-9104-432E537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7595"/>
    <w:rPr>
      <w:color w:val="808080"/>
    </w:rPr>
  </w:style>
  <w:style w:type="paragraph" w:styleId="ListParagraph">
    <w:name w:val="List Paragraph"/>
    <w:basedOn w:val="Normal"/>
    <w:uiPriority w:val="34"/>
    <w:qFormat/>
    <w:rsid w:val="005B4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A84"/>
  </w:style>
  <w:style w:type="paragraph" w:styleId="Footer">
    <w:name w:val="footer"/>
    <w:basedOn w:val="Normal"/>
    <w:link w:val="FooterChar"/>
    <w:uiPriority w:val="99"/>
    <w:unhideWhenUsed/>
    <w:rsid w:val="00001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A84"/>
  </w:style>
  <w:style w:type="character" w:styleId="CommentReference">
    <w:name w:val="annotation reference"/>
    <w:basedOn w:val="DefaultParagraphFont"/>
    <w:uiPriority w:val="99"/>
    <w:semiHidden/>
    <w:unhideWhenUsed/>
    <w:rsid w:val="00CD5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Adam Gavarkovs</cp:lastModifiedBy>
  <cp:revision>2</cp:revision>
  <cp:lastPrinted>2019-06-12T16:40:00Z</cp:lastPrinted>
  <dcterms:created xsi:type="dcterms:W3CDTF">2024-01-18T19:26:00Z</dcterms:created>
  <dcterms:modified xsi:type="dcterms:W3CDTF">2024-01-18T19:26:00Z</dcterms:modified>
</cp:coreProperties>
</file>